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3.11.0 -->
  <w:body>
    <w:p w:rsidR="000F581C" w:rsidRPr="000F581C" w:rsidP="00BE6EC1" w14:paraId="1661663F" w14:textId="77777777">
      <w:pPr>
        <w:widowControl/>
        <w:spacing w:after="0" w:line="360" w:lineRule="auto"/>
        <w:jc w:val="center"/>
        <w:rPr>
          <w:rFonts w:ascii="Times New Roman" w:eastAsia="Times New Roman" w:hAnsi="Times New Roman"/>
          <w:sz w:val="24"/>
          <w:szCs w:val="24"/>
          <w:lang w:val="lv-LV"/>
        </w:rPr>
      </w:pPr>
      <w:r>
        <w:rPr>
          <w:rFonts w:ascii="Times New Roman" w:eastAsia="Times New Roman" w:hAnsi="Times New Roman"/>
          <w:sz w:val="24"/>
          <w:szCs w:val="24"/>
          <w:lang w:val="lv-LV"/>
        </w:rPr>
        <w:t>Rīga</w:t>
      </w:r>
    </w:p>
    <w:bookmarkStart w:id="0" w:name="_Hlk160635297"/>
    <w:p w:rsidR="00D243B6" w:rsidP="002E74B6" w14:paraId="319C3FA0" w14:textId="637A2F7E">
      <w:pPr>
        <w:widowControl/>
        <w:spacing w:before="120" w:after="0" w:line="360" w:lineRule="auto"/>
        <w:jc w:val="both"/>
        <w:rPr>
          <w:rFonts w:ascii="Times New Roman" w:eastAsia="Times New Roman" w:hAnsi="Times New Roman"/>
          <w:b/>
          <w:sz w:val="24"/>
          <w:szCs w:val="24"/>
        </w:rPr>
      </w:pPr>
      <w:r>
        <w:rPr>
          <w:rFonts w:ascii="Times New Roman" w:eastAsia="Times New Roman" w:hAnsi="Times New Roman"/>
          <w:noProof/>
          <w:sz w:val="24"/>
          <w:szCs w:val="24"/>
          <w:lang w:val="lv-LV"/>
        </w:rPr>
        <w:t>08.03.2024</w:t>
      </w:r>
      <w:r w:rsidR="00D85438">
        <w:rPr>
          <w:rFonts w:ascii="Times New Roman" w:eastAsia="Times New Roman" w:hAnsi="Times New Roman"/>
          <w:sz w:val="24"/>
          <w:szCs w:val="24"/>
          <w:lang w:val="lv-LV"/>
        </w:rPr>
        <w:t>.</w:t>
      </w:r>
      <w:r w:rsidRPr="003142AE" w:rsidR="00C5555B">
        <w:rPr>
          <w:rFonts w:ascii="Times New Roman" w:eastAsia="Times New Roman" w:hAnsi="Times New Roman"/>
          <w:sz w:val="24"/>
          <w:szCs w:val="24"/>
          <w:lang w:val="lv-LV"/>
        </w:rPr>
        <w:t xml:space="preserve"> N</w:t>
      </w:r>
      <w:r w:rsidR="005549C9">
        <w:rPr>
          <w:rFonts w:ascii="Times New Roman" w:eastAsia="Times New Roman" w:hAnsi="Times New Roman"/>
          <w:sz w:val="24"/>
          <w:szCs w:val="24"/>
          <w:lang w:val="lv-LV"/>
        </w:rPr>
        <w:t>o</w:t>
      </w:r>
      <w:r>
        <w:rPr>
          <w:rFonts w:ascii="Times New Roman" w:eastAsia="Times New Roman" w:hAnsi="Times New Roman"/>
          <w:sz w:val="24"/>
          <w:szCs w:val="24"/>
          <w:lang w:val="lv-LV"/>
        </w:rPr>
        <w:t> </w:t>
      </w:r>
      <w:r w:rsidR="00F01731">
        <w:rPr>
          <w:rFonts w:ascii="Times New Roman" w:eastAsia="Times New Roman" w:hAnsi="Times New Roman"/>
          <w:noProof/>
          <w:sz w:val="24"/>
          <w:szCs w:val="24"/>
          <w:lang w:val="lv-LV"/>
        </w:rPr>
        <w:t>8.-6/2433</w:t>
      </w:r>
    </w:p>
    <w:bookmarkEnd w:id="0"/>
    <w:p w:rsidR="00D243B6" w:rsidP="002E74B6" w14:paraId="3DB8F78B" w14:textId="17F8D209">
      <w:pPr>
        <w:widowControl/>
        <w:spacing w:before="240" w:after="240" w:line="360" w:lineRule="auto"/>
        <w:ind w:firstLine="5103"/>
        <w:jc w:val="both"/>
        <w:rPr>
          <w:rFonts w:ascii="Times New Roman" w:eastAsia="Times New Roman" w:hAnsi="Times New Roman"/>
          <w:b/>
          <w:sz w:val="24"/>
          <w:szCs w:val="24"/>
        </w:rPr>
      </w:pPr>
      <w:r w:rsidRPr="00E12A29">
        <w:rPr>
          <w:rFonts w:ascii="Times New Roman" w:eastAsia="Times New Roman" w:hAnsi="Times New Roman"/>
          <w:b/>
          <w:sz w:val="24"/>
          <w:szCs w:val="24"/>
        </w:rPr>
        <w:t>According to the attached list</w:t>
      </w:r>
    </w:p>
    <w:p w:rsidR="00D243B6" w:rsidRPr="00D243B6" w:rsidP="00C127B8" w14:paraId="4071BFF0" w14:textId="7B8822AF">
      <w:pPr>
        <w:widowControl/>
        <w:spacing w:before="240" w:after="240" w:line="360" w:lineRule="auto"/>
        <w:jc w:val="both"/>
        <w:rPr>
          <w:rFonts w:ascii="Times New Roman" w:eastAsia="Times New Roman" w:hAnsi="Times New Roman"/>
          <w:i/>
          <w:sz w:val="24"/>
          <w:szCs w:val="24"/>
        </w:rPr>
      </w:pPr>
      <w:r w:rsidRPr="00E12A29">
        <w:rPr>
          <w:rFonts w:ascii="Times New Roman" w:eastAsia="Times New Roman" w:hAnsi="Times New Roman"/>
          <w:i/>
          <w:sz w:val="24"/>
          <w:szCs w:val="24"/>
        </w:rPr>
        <w:t>For information</w:t>
      </w:r>
    </w:p>
    <w:p w:rsidR="00E12A29" w:rsidRPr="000C1EE9" w:rsidP="00E12A29" w14:paraId="3F1BC8B1" w14:textId="77777777">
      <w:pPr>
        <w:spacing w:after="0" w:line="240" w:lineRule="auto"/>
        <w:ind w:firstLine="720"/>
        <w:jc w:val="both"/>
        <w:rPr>
          <w:rFonts w:ascii="Times New Roman" w:eastAsia="Times New Roman" w:hAnsi="Times New Roman"/>
          <w:sz w:val="24"/>
          <w:szCs w:val="24"/>
          <w:lang w:val="en-GB"/>
        </w:rPr>
      </w:pPr>
      <w:r w:rsidRPr="000C1EE9">
        <w:rPr>
          <w:rFonts w:ascii="Times New Roman" w:eastAsia="Times New Roman" w:hAnsi="Times New Roman"/>
          <w:sz w:val="24"/>
          <w:szCs w:val="24"/>
          <w:lang w:val="en-GB"/>
        </w:rPr>
        <w:t>The Consumer Rights Protection Centre (hereinafter – CRPC) is a governmental authority under supervision of the Ministry of Economics of Latvia, which enforces the protection of consumer rights and interests. The main function of CRPC is to supervise safety and compliance of non-food products, including machinery.</w:t>
      </w:r>
    </w:p>
    <w:p w:rsidR="00E12A29" w:rsidRPr="000C1EE9" w:rsidP="00E12A29" w14:paraId="27EEF675" w14:textId="77777777">
      <w:pPr>
        <w:widowControl/>
        <w:spacing w:before="120" w:after="0" w:line="259" w:lineRule="auto"/>
        <w:ind w:firstLine="720"/>
        <w:jc w:val="both"/>
        <w:rPr>
          <w:rFonts w:ascii="Times New Roman" w:hAnsi="Times New Roman"/>
          <w:sz w:val="24"/>
          <w:szCs w:val="24"/>
          <w:lang w:val="en-GB"/>
        </w:rPr>
      </w:pPr>
      <w:r w:rsidRPr="000C1EE9">
        <w:rPr>
          <w:rFonts w:ascii="Times New Roman" w:hAnsi="Times New Roman"/>
          <w:sz w:val="24"/>
          <w:szCs w:val="24"/>
          <w:lang w:val="en-GB"/>
        </w:rPr>
        <w:t xml:space="preserve">During the market surveillance activities (including at the border in cooperation with custom authority of Latvia) CRPC has found out that Latvian company </w:t>
      </w:r>
      <w:r w:rsidRPr="000C1EE9">
        <w:rPr>
          <w:rFonts w:ascii="Times New Roman" w:hAnsi="Times New Roman"/>
          <w:b/>
          <w:bCs/>
          <w:sz w:val="24"/>
          <w:szCs w:val="24"/>
          <w:lang w:val="en-GB"/>
        </w:rPr>
        <w:t>LLC “PROVENTO”</w:t>
      </w:r>
      <w:r w:rsidRPr="000C1EE9">
        <w:rPr>
          <w:rFonts w:ascii="Times New Roman" w:hAnsi="Times New Roman"/>
          <w:sz w:val="24"/>
          <w:szCs w:val="24"/>
          <w:lang w:val="en-GB"/>
        </w:rPr>
        <w:t xml:space="preserve">, Registration No. 40003185148, legal address </w:t>
      </w:r>
      <w:r w:rsidRPr="000C1EE9">
        <w:rPr>
          <w:rFonts w:ascii="Times New Roman" w:hAnsi="Times New Roman"/>
          <w:sz w:val="24"/>
          <w:szCs w:val="24"/>
          <w:lang w:val="en-GB"/>
        </w:rPr>
        <w:t>Rīga</w:t>
      </w:r>
      <w:r w:rsidRPr="000C1EE9">
        <w:rPr>
          <w:rFonts w:ascii="Times New Roman" w:hAnsi="Times New Roman"/>
          <w:sz w:val="24"/>
          <w:szCs w:val="24"/>
          <w:lang w:val="en-GB"/>
        </w:rPr>
        <w:t xml:space="preserve">, </w:t>
      </w:r>
      <w:r w:rsidRPr="000C1EE9">
        <w:rPr>
          <w:rFonts w:ascii="Times New Roman" w:hAnsi="Times New Roman"/>
          <w:sz w:val="24"/>
          <w:szCs w:val="24"/>
          <w:lang w:val="en-GB"/>
        </w:rPr>
        <w:t>Biķernieku</w:t>
      </w:r>
      <w:r w:rsidRPr="000C1EE9">
        <w:rPr>
          <w:rFonts w:ascii="Times New Roman" w:hAnsi="Times New Roman"/>
          <w:sz w:val="24"/>
          <w:szCs w:val="24"/>
          <w:lang w:val="en-GB"/>
        </w:rPr>
        <w:t xml:space="preserve"> </w:t>
      </w:r>
      <w:r w:rsidRPr="000C1EE9">
        <w:rPr>
          <w:rFonts w:ascii="Times New Roman" w:hAnsi="Times New Roman"/>
          <w:sz w:val="24"/>
          <w:szCs w:val="24"/>
          <w:lang w:val="en-GB"/>
        </w:rPr>
        <w:t>iela</w:t>
      </w:r>
      <w:r w:rsidRPr="000C1EE9">
        <w:rPr>
          <w:rFonts w:ascii="Times New Roman" w:hAnsi="Times New Roman"/>
          <w:sz w:val="24"/>
          <w:szCs w:val="24"/>
          <w:lang w:val="en-GB"/>
        </w:rPr>
        <w:t xml:space="preserve"> 58, LV-1006 (hereinafter – PROVENTO) systematically placed machinery</w:t>
      </w:r>
      <w:r>
        <w:rPr>
          <w:rStyle w:val="FootnoteReference"/>
          <w:rFonts w:ascii="Times New Roman" w:hAnsi="Times New Roman"/>
          <w:sz w:val="24"/>
          <w:szCs w:val="24"/>
          <w:lang w:val="en-GB"/>
        </w:rPr>
        <w:footnoteReference w:id="2"/>
      </w:r>
      <w:r w:rsidRPr="000C1EE9">
        <w:rPr>
          <w:rFonts w:ascii="Times New Roman" w:hAnsi="Times New Roman"/>
          <w:sz w:val="24"/>
          <w:szCs w:val="24"/>
          <w:lang w:val="en-GB"/>
        </w:rPr>
        <w:t xml:space="preserve"> (including partly completed machinery) with non-compliances under release for free circulation in European Union.</w:t>
      </w:r>
    </w:p>
    <w:p w:rsidR="00E12A29" w:rsidRPr="000C1EE9" w:rsidP="00E12A29" w14:paraId="1571BD46" w14:textId="77777777">
      <w:pPr>
        <w:widowControl/>
        <w:spacing w:before="120" w:after="0" w:line="259" w:lineRule="auto"/>
        <w:ind w:firstLine="720"/>
        <w:jc w:val="both"/>
        <w:rPr>
          <w:rFonts w:ascii="Times New Roman" w:hAnsi="Times New Roman"/>
          <w:sz w:val="24"/>
          <w:szCs w:val="24"/>
        </w:rPr>
      </w:pPr>
      <w:r w:rsidRPr="000C1EE9">
        <w:rPr>
          <w:rFonts w:ascii="Times New Roman" w:hAnsi="Times New Roman"/>
          <w:sz w:val="24"/>
          <w:szCs w:val="24"/>
        </w:rPr>
        <w:t xml:space="preserve">The main </w:t>
      </w:r>
      <w:r w:rsidRPr="000C1EE9">
        <w:rPr>
          <w:rFonts w:ascii="Times New Roman" w:hAnsi="Times New Roman"/>
          <w:sz w:val="24"/>
          <w:szCs w:val="24"/>
          <w:lang w:val="en-GB"/>
        </w:rPr>
        <w:t>non-compliances for machinery (including partly completed machinery):</w:t>
      </w:r>
    </w:p>
    <w:p w:rsidR="00E12A29" w:rsidRPr="000C1EE9" w:rsidP="00E12A29" w14:paraId="4776E6F1" w14:textId="0E4F63AE">
      <w:pPr>
        <w:pStyle w:val="ListParagraph"/>
        <w:widowControl/>
        <w:numPr>
          <w:ilvl w:val="0"/>
          <w:numId w:val="12"/>
        </w:numPr>
        <w:spacing w:after="0" w:line="259" w:lineRule="auto"/>
        <w:jc w:val="both"/>
        <w:rPr>
          <w:rFonts w:ascii="Times New Roman" w:hAnsi="Times New Roman"/>
          <w:sz w:val="24"/>
          <w:szCs w:val="24"/>
        </w:rPr>
      </w:pPr>
      <w:r w:rsidRPr="000C1EE9">
        <w:rPr>
          <w:rFonts w:ascii="Times New Roman" w:hAnsi="Times New Roman"/>
          <w:sz w:val="24"/>
          <w:szCs w:val="24"/>
        </w:rPr>
        <w:t>provided EC declaration of conformity</w:t>
      </w:r>
      <w:r>
        <w:rPr>
          <w:rStyle w:val="FootnoteReference"/>
          <w:rFonts w:ascii="Times New Roman" w:hAnsi="Times New Roman"/>
          <w:sz w:val="24"/>
          <w:szCs w:val="24"/>
        </w:rPr>
        <w:footnoteReference w:id="3"/>
      </w:r>
      <w:r w:rsidRPr="000C1EE9">
        <w:rPr>
          <w:rFonts w:ascii="Times New Roman" w:hAnsi="Times New Roman"/>
          <w:sz w:val="24"/>
          <w:szCs w:val="24"/>
        </w:rPr>
        <w:t>, instruction handbook</w:t>
      </w:r>
      <w:r>
        <w:rPr>
          <w:rStyle w:val="FootnoteReference"/>
          <w:rFonts w:ascii="Times New Roman" w:hAnsi="Times New Roman"/>
          <w:sz w:val="24"/>
          <w:szCs w:val="24"/>
        </w:rPr>
        <w:footnoteReference w:id="4"/>
      </w:r>
      <w:r w:rsidRPr="000C1EE9">
        <w:rPr>
          <w:rFonts w:ascii="Times New Roman" w:hAnsi="Times New Roman"/>
          <w:sz w:val="24"/>
          <w:szCs w:val="24"/>
        </w:rPr>
        <w:t xml:space="preserve"> and technical documentation for machinery contained information about three different manufacturers. Therefore, it’s not clearly and understandable who is products true manufacturer.</w:t>
      </w:r>
    </w:p>
    <w:p w:rsidR="00E12A29" w:rsidRPr="000C1EE9" w:rsidP="00E12A29" w14:paraId="37869474" w14:textId="77777777">
      <w:pPr>
        <w:pStyle w:val="ListParagraph"/>
        <w:widowControl/>
        <w:numPr>
          <w:ilvl w:val="0"/>
          <w:numId w:val="12"/>
        </w:numPr>
        <w:spacing w:after="0" w:line="259" w:lineRule="auto"/>
        <w:jc w:val="both"/>
        <w:rPr>
          <w:rFonts w:ascii="Times New Roman" w:hAnsi="Times New Roman"/>
          <w:sz w:val="24"/>
          <w:szCs w:val="24"/>
        </w:rPr>
      </w:pPr>
      <w:r w:rsidRPr="000C1EE9">
        <w:rPr>
          <w:rFonts w:ascii="Times New Roman" w:hAnsi="Times New Roman"/>
          <w:sz w:val="24"/>
          <w:szCs w:val="24"/>
        </w:rPr>
        <w:t>products marking plate did not contain necessary information about product and its manufacturer (they were missing). Therefore, PROVENTO provided documentation regarding product was not applicable.</w:t>
      </w:r>
    </w:p>
    <w:p w:rsidR="00E12A29" w:rsidRPr="000C1EE9" w:rsidP="00E12A29" w14:paraId="40F9E501" w14:textId="77777777">
      <w:pPr>
        <w:pStyle w:val="ListParagraph"/>
        <w:widowControl/>
        <w:numPr>
          <w:ilvl w:val="0"/>
          <w:numId w:val="12"/>
        </w:numPr>
        <w:spacing w:after="0" w:line="259" w:lineRule="auto"/>
        <w:jc w:val="both"/>
        <w:rPr>
          <w:rFonts w:ascii="Times New Roman" w:hAnsi="Times New Roman"/>
          <w:sz w:val="24"/>
          <w:szCs w:val="24"/>
        </w:rPr>
      </w:pPr>
      <w:r w:rsidRPr="000C1EE9">
        <w:rPr>
          <w:rFonts w:ascii="Times New Roman" w:hAnsi="Times New Roman"/>
          <w:sz w:val="24"/>
          <w:szCs w:val="24"/>
        </w:rPr>
        <w:t>marking plate on the product was not in conformity with applicable Standard to whom was reference in the EC declaration of conformity and/or in the relevant technical documentation. Additionally, marking was erasable</w:t>
      </w:r>
      <w:r>
        <w:rPr>
          <w:rStyle w:val="FootnoteReference"/>
          <w:rFonts w:ascii="Times New Roman" w:hAnsi="Times New Roman"/>
          <w:sz w:val="24"/>
          <w:szCs w:val="24"/>
        </w:rPr>
        <w:footnoteReference w:id="5"/>
      </w:r>
      <w:r w:rsidRPr="000C1EE9">
        <w:rPr>
          <w:rFonts w:ascii="Times New Roman" w:hAnsi="Times New Roman"/>
          <w:sz w:val="24"/>
          <w:szCs w:val="24"/>
        </w:rPr>
        <w:t xml:space="preserve"> therefore it was not in conformity with relevant Standard requirements.</w:t>
      </w:r>
    </w:p>
    <w:p w:rsidR="00E12A29" w:rsidRPr="000C1EE9" w:rsidP="00E12A29" w14:paraId="4DD3406A" w14:textId="77777777">
      <w:pPr>
        <w:pStyle w:val="ListParagraph"/>
        <w:widowControl/>
        <w:numPr>
          <w:ilvl w:val="0"/>
          <w:numId w:val="12"/>
        </w:numPr>
        <w:spacing w:after="0" w:line="259" w:lineRule="auto"/>
        <w:jc w:val="both"/>
        <w:rPr>
          <w:rFonts w:ascii="Times New Roman" w:hAnsi="Times New Roman"/>
          <w:sz w:val="24"/>
          <w:szCs w:val="24"/>
        </w:rPr>
      </w:pPr>
      <w:r w:rsidRPr="000C1EE9">
        <w:rPr>
          <w:rFonts w:ascii="Times New Roman" w:hAnsi="Times New Roman"/>
          <w:sz w:val="24"/>
          <w:szCs w:val="24"/>
        </w:rPr>
        <w:t>Information provided in the technical documentation differs from information provided in the CRPC checked machinery marking plate. Therefore, provided technical documentation was not applicable to product.</w:t>
      </w:r>
    </w:p>
    <w:p w:rsidR="00E12A29" w:rsidRPr="000C1EE9" w:rsidP="00E12A29" w14:paraId="3C5AEF4F" w14:textId="77777777">
      <w:pPr>
        <w:pStyle w:val="ListParagraph"/>
        <w:widowControl/>
        <w:numPr>
          <w:ilvl w:val="0"/>
          <w:numId w:val="12"/>
        </w:numPr>
        <w:spacing w:after="0" w:line="259" w:lineRule="auto"/>
        <w:jc w:val="both"/>
        <w:rPr>
          <w:rFonts w:ascii="Times New Roman" w:hAnsi="Times New Roman"/>
          <w:sz w:val="24"/>
          <w:szCs w:val="24"/>
        </w:rPr>
      </w:pPr>
      <w:r w:rsidRPr="000C1EE9">
        <w:rPr>
          <w:rFonts w:ascii="Times New Roman" w:hAnsi="Times New Roman"/>
          <w:sz w:val="24"/>
          <w:szCs w:val="24"/>
        </w:rPr>
        <w:t>Provided instruction handbooks did not contain all the necessary information that is stated in the applicable normative legislations and in relevant standards</w:t>
      </w:r>
      <w:r>
        <w:rPr>
          <w:rStyle w:val="FootnoteReference"/>
          <w:rFonts w:ascii="Times New Roman" w:hAnsi="Times New Roman"/>
          <w:sz w:val="24"/>
          <w:szCs w:val="24"/>
        </w:rPr>
        <w:footnoteReference w:id="6"/>
      </w:r>
      <w:r>
        <w:rPr>
          <w:rFonts w:ascii="Times New Roman" w:hAnsi="Times New Roman"/>
          <w:sz w:val="24"/>
          <w:szCs w:val="24"/>
        </w:rPr>
        <w:t>.</w:t>
      </w:r>
    </w:p>
    <w:p w:rsidR="00E12A29" w:rsidRPr="000C1EE9" w:rsidP="00E12A29" w14:paraId="079B8A83" w14:textId="77777777">
      <w:pPr>
        <w:widowControl/>
        <w:spacing w:before="120" w:after="0" w:line="259" w:lineRule="auto"/>
        <w:ind w:firstLine="720"/>
        <w:jc w:val="both"/>
        <w:rPr>
          <w:rFonts w:ascii="Times New Roman" w:hAnsi="Times New Roman"/>
          <w:sz w:val="24"/>
          <w:szCs w:val="24"/>
        </w:rPr>
      </w:pPr>
      <w:r w:rsidRPr="000C1EE9">
        <w:rPr>
          <w:rFonts w:ascii="Times New Roman" w:hAnsi="Times New Roman"/>
          <w:sz w:val="24"/>
          <w:szCs w:val="24"/>
        </w:rPr>
        <w:t xml:space="preserve">Considering all above mentioned, CRPC had reasonable suspicions that conformity assessment procedures for the relevant PROVENTO imported machinery (including partly completed machinery) were not carried out in accordance with all applicable legislations and relevant PROVENTO imported machinery </w:t>
      </w:r>
      <w:r w:rsidRPr="000C1EE9">
        <w:rPr>
          <w:rFonts w:ascii="Times New Roman" w:hAnsi="Times New Roman"/>
          <w:sz w:val="24"/>
          <w:szCs w:val="24"/>
          <w:lang w:val="en-GB"/>
        </w:rPr>
        <w:t>(including partly completed machinery)</w:t>
      </w:r>
      <w:r w:rsidRPr="000C1EE9">
        <w:rPr>
          <w:rFonts w:ascii="Times New Roman" w:hAnsi="Times New Roman"/>
          <w:sz w:val="24"/>
          <w:szCs w:val="24"/>
        </w:rPr>
        <w:t xml:space="preserve"> did not fulfil essential safety and health requirements. </w:t>
      </w:r>
    </w:p>
    <w:p w:rsidR="00E12A29" w:rsidRPr="000C1EE9" w:rsidP="00E12A29" w14:paraId="751D6AC6" w14:textId="60B50A26">
      <w:pPr>
        <w:widowControl/>
        <w:spacing w:after="0" w:line="259" w:lineRule="auto"/>
        <w:ind w:firstLine="720"/>
        <w:jc w:val="both"/>
        <w:rPr>
          <w:rFonts w:ascii="Times New Roman" w:hAnsi="Times New Roman"/>
          <w:sz w:val="24"/>
          <w:szCs w:val="24"/>
        </w:rPr>
      </w:pPr>
      <w:r w:rsidRPr="000C1EE9">
        <w:rPr>
          <w:rFonts w:ascii="Times New Roman" w:hAnsi="Times New Roman"/>
          <w:sz w:val="24"/>
          <w:szCs w:val="24"/>
        </w:rPr>
        <w:t xml:space="preserve">During the market surveillance activities at the border PROVENTO received </w:t>
      </w:r>
      <w:r w:rsidR="00961AD9">
        <w:rPr>
          <w:rFonts w:ascii="Times New Roman" w:hAnsi="Times New Roman"/>
          <w:sz w:val="24"/>
          <w:szCs w:val="24"/>
        </w:rPr>
        <w:t>many</w:t>
      </w:r>
      <w:r>
        <w:rPr>
          <w:rFonts w:ascii="Times New Roman" w:hAnsi="Times New Roman"/>
          <w:sz w:val="24"/>
          <w:szCs w:val="24"/>
        </w:rPr>
        <w:t xml:space="preserve"> </w:t>
      </w:r>
      <w:r w:rsidRPr="000C1EE9">
        <w:rPr>
          <w:rFonts w:ascii="Times New Roman" w:hAnsi="Times New Roman"/>
          <w:sz w:val="24"/>
          <w:szCs w:val="24"/>
        </w:rPr>
        <w:t xml:space="preserve">negative costume procedure conclusions for relevant machinery (including partly completed machinery) – release for free product circulation was denied at customs. </w:t>
      </w:r>
    </w:p>
    <w:p w:rsidR="00E12A29" w:rsidRPr="000C1EE9" w:rsidP="00E12A29" w14:paraId="04962E10" w14:textId="77777777">
      <w:pPr>
        <w:widowControl/>
        <w:spacing w:after="0" w:line="259" w:lineRule="auto"/>
        <w:ind w:firstLine="720"/>
        <w:jc w:val="both"/>
        <w:rPr>
          <w:rFonts w:ascii="Times New Roman" w:hAnsi="Times New Roman"/>
          <w:sz w:val="24"/>
          <w:szCs w:val="24"/>
        </w:rPr>
      </w:pPr>
      <w:r w:rsidRPr="000C1EE9">
        <w:rPr>
          <w:rFonts w:ascii="Times New Roman" w:hAnsi="Times New Roman"/>
          <w:sz w:val="24"/>
          <w:szCs w:val="24"/>
        </w:rPr>
        <w:t xml:space="preserve">CRPC has suspicions, that PROVENTO is trying to place machinery (including partly completed machinery) with non-compliances under release for free circulation in European Union through </w:t>
      </w:r>
      <w:r>
        <w:rPr>
          <w:rFonts w:ascii="Times New Roman" w:hAnsi="Times New Roman"/>
          <w:sz w:val="24"/>
          <w:szCs w:val="24"/>
        </w:rPr>
        <w:t>Baltic states region</w:t>
      </w:r>
      <w:r w:rsidRPr="000C1EE9">
        <w:rPr>
          <w:rFonts w:ascii="Times New Roman" w:hAnsi="Times New Roman"/>
          <w:sz w:val="24"/>
          <w:szCs w:val="24"/>
        </w:rPr>
        <w:t xml:space="preserve"> </w:t>
      </w:r>
      <w:r>
        <w:rPr>
          <w:rFonts w:ascii="Times New Roman" w:hAnsi="Times New Roman"/>
          <w:sz w:val="24"/>
          <w:szCs w:val="24"/>
        </w:rPr>
        <w:t>market/customs</w:t>
      </w:r>
      <w:r w:rsidRPr="000C1EE9">
        <w:rPr>
          <w:rFonts w:ascii="Times New Roman" w:hAnsi="Times New Roman"/>
          <w:sz w:val="24"/>
          <w:szCs w:val="24"/>
        </w:rPr>
        <w:t xml:space="preserve">. </w:t>
      </w:r>
    </w:p>
    <w:p w:rsidR="00E12A29" w:rsidP="00E12A29" w14:paraId="1071C04E" w14:textId="77777777">
      <w:pPr>
        <w:widowControl/>
        <w:spacing w:before="100" w:beforeAutospacing="1" w:after="100" w:afterAutospacing="1" w:line="259" w:lineRule="auto"/>
        <w:ind w:firstLine="720"/>
        <w:jc w:val="both"/>
        <w:rPr>
          <w:rFonts w:ascii="Times New Roman" w:hAnsi="Times New Roman"/>
          <w:sz w:val="24"/>
          <w:szCs w:val="24"/>
        </w:rPr>
      </w:pPr>
      <w:r w:rsidRPr="000C1EE9">
        <w:rPr>
          <w:rFonts w:ascii="Times New Roman" w:hAnsi="Times New Roman"/>
          <w:sz w:val="24"/>
          <w:szCs w:val="24"/>
        </w:rPr>
        <w:t xml:space="preserve">According to all above mentioned, CRPC kindly asks </w:t>
      </w:r>
      <w:r>
        <w:rPr>
          <w:rFonts w:ascii="Times New Roman" w:hAnsi="Times New Roman"/>
          <w:sz w:val="24"/>
          <w:szCs w:val="24"/>
        </w:rPr>
        <w:t>Market surveillance authorities</w:t>
      </w:r>
      <w:r w:rsidRPr="000C1EE9">
        <w:rPr>
          <w:rFonts w:ascii="Times New Roman" w:hAnsi="Times New Roman"/>
          <w:sz w:val="24"/>
          <w:szCs w:val="24"/>
        </w:rPr>
        <w:t xml:space="preserve"> to take necessary market surveillance activities to prevent non-compliant product release for free circulation in European Union.</w:t>
      </w:r>
    </w:p>
    <w:p w:rsidR="00E12A29" w:rsidP="00E12A29" w14:paraId="76EB356B" w14:textId="77777777">
      <w:pPr>
        <w:widowControl/>
        <w:spacing w:before="100" w:beforeAutospacing="1" w:after="100" w:afterAutospacing="1" w:line="259" w:lineRule="auto"/>
        <w:ind w:firstLine="720"/>
        <w:jc w:val="both"/>
        <w:rPr>
          <w:rFonts w:ascii="Times New Roman" w:hAnsi="Times New Roman"/>
          <w:sz w:val="24"/>
          <w:szCs w:val="24"/>
        </w:rPr>
      </w:pPr>
      <w:r w:rsidRPr="007977FF">
        <w:rPr>
          <w:rFonts w:ascii="Times New Roman" w:hAnsi="Times New Roman"/>
          <w:sz w:val="24"/>
          <w:szCs w:val="24"/>
        </w:rPr>
        <w:t xml:space="preserve">If you </w:t>
      </w:r>
      <w:r w:rsidRPr="00E12A29">
        <w:rPr>
          <w:rFonts w:ascii="Times New Roman" w:hAnsi="Times New Roman"/>
          <w:sz w:val="24"/>
          <w:szCs w:val="24"/>
        </w:rPr>
        <w:t xml:space="preserve">have any further questions or if you need more information, please do not hesitate to contact </w:t>
      </w:r>
      <w:r w:rsidRPr="00E12A29">
        <w:rPr>
          <w:rFonts w:ascii="Times New Roman" w:hAnsi="Times New Roman"/>
          <w:sz w:val="24"/>
          <w:szCs w:val="24"/>
        </w:rPr>
        <w:t>Astrida</w:t>
      </w:r>
      <w:r w:rsidRPr="00E12A29">
        <w:rPr>
          <w:rFonts w:ascii="Times New Roman" w:hAnsi="Times New Roman"/>
          <w:sz w:val="24"/>
          <w:szCs w:val="24"/>
        </w:rPr>
        <w:t xml:space="preserve"> Mosa, Senior Expert of Technical Products Surveillance Division at Astrida.Mosa@ptac.gov.lv.</w:t>
      </w:r>
    </w:p>
    <w:p w:rsidR="00D243B6" w:rsidRPr="00D243B6" w:rsidP="00791F71" w14:paraId="0954CB22" w14:textId="7F3C78E1">
      <w:pPr>
        <w:widowControl/>
        <w:spacing w:before="240" w:after="240" w:line="240" w:lineRule="auto"/>
        <w:jc w:val="both"/>
        <w:rPr>
          <w:rFonts w:ascii="Times New Roman" w:eastAsia="Times New Roman" w:hAnsi="Times New Roman"/>
          <w:sz w:val="24"/>
          <w:szCs w:val="24"/>
        </w:rPr>
      </w:pPr>
      <w:r w:rsidRPr="00D243B6">
        <w:rPr>
          <w:rFonts w:ascii="Times New Roman" w:eastAsia="Times New Roman" w:hAnsi="Times New Roman"/>
          <w:sz w:val="24"/>
          <w:szCs w:val="24"/>
        </w:rPr>
        <w:t>Attachments:</w:t>
      </w:r>
      <w:r w:rsidRPr="003B6C75">
        <w:t xml:space="preserve"> </w:t>
      </w:r>
      <w:r w:rsidRPr="003B6C75">
        <w:rPr>
          <w:rFonts w:ascii="Times New Roman" w:eastAsia="Times New Roman" w:hAnsi="Times New Roman"/>
          <w:sz w:val="24"/>
          <w:szCs w:val="24"/>
        </w:rPr>
        <w:t>Mailing list on 1 page</w:t>
      </w:r>
      <w:r>
        <w:rPr>
          <w:rFonts w:ascii="Times New Roman" w:eastAsia="Times New Roman" w:hAnsi="Times New Roman"/>
          <w:sz w:val="24"/>
          <w:szCs w:val="24"/>
        </w:rPr>
        <w:t>.</w:t>
      </w:r>
    </w:p>
    <w:p w:rsidR="00C127B8" w:rsidP="00C127B8" w14:paraId="1EAF6248" w14:textId="77777777">
      <w:pPr>
        <w:widowControl/>
        <w:spacing w:before="240" w:after="240" w:line="240" w:lineRule="auto"/>
        <w:jc w:val="both"/>
        <w:rPr>
          <w:rFonts w:ascii="Times New Roman" w:hAnsi="Times New Roman"/>
          <w:b/>
          <w:bCs/>
          <w:i/>
          <w:iCs/>
          <w:sz w:val="24"/>
          <w:szCs w:val="24"/>
        </w:rPr>
      </w:pPr>
      <w:r>
        <w:rPr>
          <w:rFonts w:ascii="Times New Roman" w:hAnsi="Times New Roman"/>
          <w:b/>
          <w:bCs/>
          <w:i/>
          <w:iCs/>
          <w:sz w:val="24"/>
          <w:szCs w:val="24"/>
        </w:rPr>
        <w:t xml:space="preserve">This document is signed with secure electronic signature and contains </w:t>
      </w:r>
      <w:r>
        <w:rPr>
          <w:rFonts w:ascii="Times New Roman" w:hAnsi="Times New Roman"/>
          <w:b/>
          <w:bCs/>
          <w:i/>
          <w:iCs/>
          <w:sz w:val="24"/>
          <w:szCs w:val="24"/>
        </w:rPr>
        <w:t>time-stamp</w:t>
      </w:r>
      <w:r>
        <w:rPr>
          <w:rFonts w:ascii="Times New Roman" w:hAnsi="Times New Roman"/>
          <w:b/>
          <w:bCs/>
          <w:i/>
          <w:iCs/>
          <w:sz w:val="24"/>
          <w:szCs w:val="24"/>
        </w:rPr>
        <w:t>.</w:t>
      </w:r>
    </w:p>
    <w:p w:rsidR="00FA697B" w:rsidRPr="003142AE" w:rsidP="00791F71" w14:paraId="68C3F5DE" w14:textId="7E9E6C58">
      <w:pPr>
        <w:widowControl/>
        <w:tabs>
          <w:tab w:val="left" w:pos="7655"/>
        </w:tabs>
        <w:spacing w:before="240" w:after="240" w:line="240" w:lineRule="auto"/>
        <w:jc w:val="both"/>
        <w:rPr>
          <w:rFonts w:ascii="Times New Roman" w:eastAsia="Times New Roman" w:hAnsi="Times New Roman"/>
          <w:sz w:val="24"/>
          <w:szCs w:val="24"/>
        </w:rPr>
      </w:pPr>
      <w:r w:rsidRPr="00D243B6">
        <w:rPr>
          <w:rFonts w:ascii="Times New Roman" w:eastAsia="Times New Roman" w:hAnsi="Times New Roman"/>
          <w:sz w:val="24"/>
          <w:szCs w:val="24"/>
        </w:rPr>
        <w:t>Director</w:t>
      </w:r>
      <w:r w:rsidRPr="00D243B6">
        <w:rPr>
          <w:rFonts w:ascii="Times New Roman" w:eastAsia="Times New Roman" w:hAnsi="Times New Roman"/>
          <w:sz w:val="24"/>
          <w:szCs w:val="24"/>
        </w:rPr>
        <w:tab/>
      </w:r>
      <w:r>
        <w:rPr>
          <w:rFonts w:ascii="Times New Roman" w:eastAsia="Times New Roman" w:hAnsi="Times New Roman"/>
          <w:noProof/>
          <w:sz w:val="24"/>
          <w:szCs w:val="24"/>
        </w:rPr>
        <w:t>Baiba Vītoliņa</w:t>
      </w:r>
    </w:p>
    <w:p w:rsidR="00FA697B" w:rsidRPr="003142AE" w:rsidP="00FA697B" w14:paraId="019DDB2C" w14:textId="77777777">
      <w:pPr>
        <w:widowControl/>
        <w:tabs>
          <w:tab w:val="left" w:pos="6840"/>
        </w:tabs>
        <w:spacing w:before="960" w:after="0" w:line="240" w:lineRule="auto"/>
        <w:jc w:val="both"/>
        <w:rPr>
          <w:rFonts w:ascii="Times New Roman" w:eastAsia="Times New Roman" w:hAnsi="Times New Roman"/>
          <w:sz w:val="17"/>
          <w:szCs w:val="17"/>
        </w:rPr>
      </w:pPr>
      <w:r>
        <w:rPr>
          <w:rFonts w:ascii="Times New Roman" w:eastAsia="Times New Roman" w:hAnsi="Times New Roman"/>
          <w:noProof/>
          <w:sz w:val="17"/>
          <w:szCs w:val="17"/>
        </w:rPr>
        <w:t>Astrīda Mosa</w:t>
      </w:r>
      <w:r>
        <w:rPr>
          <w:rFonts w:ascii="Times New Roman" w:eastAsia="Times New Roman" w:hAnsi="Times New Roman"/>
          <w:sz w:val="17"/>
          <w:szCs w:val="17"/>
        </w:rPr>
        <w:t xml:space="preserve"> </w:t>
      </w:r>
      <w:r>
        <w:rPr>
          <w:rFonts w:ascii="Times New Roman" w:eastAsia="Times New Roman" w:hAnsi="Times New Roman"/>
          <w:noProof/>
          <w:sz w:val="17"/>
          <w:szCs w:val="17"/>
        </w:rPr>
        <w:t>68806563</w:t>
      </w:r>
    </w:p>
    <w:p w:rsidR="00FA697B" w:rsidRPr="003142AE" w:rsidP="00FA697B" w14:paraId="1FEDE135" w14:textId="77777777">
      <w:pPr>
        <w:widowControl/>
        <w:tabs>
          <w:tab w:val="left" w:pos="6840"/>
        </w:tabs>
        <w:spacing w:after="0" w:line="240" w:lineRule="auto"/>
        <w:jc w:val="both"/>
        <w:rPr>
          <w:rFonts w:ascii="Times New Roman" w:eastAsia="Times New Roman" w:hAnsi="Times New Roman"/>
          <w:sz w:val="17"/>
          <w:szCs w:val="17"/>
        </w:rPr>
      </w:pPr>
      <w:hyperlink r:id="rId5" w:history="1">
        <w:r w:rsidR="003B6C75">
          <w:rPr>
            <w:rFonts w:ascii="Times New Roman" w:eastAsia="Times New Roman" w:hAnsi="Times New Roman"/>
            <w:noProof/>
            <w:sz w:val="17"/>
            <w:szCs w:val="17"/>
          </w:rPr>
          <w:t>Astrida.Mosa@ptac.gov.lv</w:t>
        </w:r>
      </w:hyperlink>
    </w:p>
    <w:sectPr w:rsidSect="00D243B6">
      <w:headerReference w:type="default" r:id="rId6"/>
      <w:headerReference w:type="first" r:id="rId7"/>
      <w:type w:val="continuous"/>
      <w:pgSz w:w="11907" w:h="16840" w:code="9"/>
      <w:pgMar w:top="1134" w:right="1134" w:bottom="1134" w:left="1701" w:header="709" w:footer="709"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3B6C75" w14:paraId="367ECE66" w14:textId="77777777">
      <w:pPr>
        <w:spacing w:after="0" w:line="240" w:lineRule="auto"/>
      </w:pPr>
      <w:r>
        <w:separator/>
      </w:r>
    </w:p>
  </w:footnote>
  <w:footnote w:type="continuationSeparator" w:id="1">
    <w:p w:rsidR="003B6C75" w14:paraId="55ACDC63" w14:textId="77777777">
      <w:pPr>
        <w:spacing w:after="0" w:line="240" w:lineRule="auto"/>
      </w:pPr>
      <w:r>
        <w:continuationSeparator/>
      </w:r>
    </w:p>
  </w:footnote>
  <w:footnote w:id="2">
    <w:p w:rsidR="00E12A29" w:rsidRPr="00F70EDA" w:rsidP="00E12A29" w14:paraId="386D35D8" w14:textId="77777777">
      <w:pPr>
        <w:pStyle w:val="FootnoteText"/>
        <w:rPr>
          <w:rFonts w:ascii="Times New Roman" w:hAnsi="Times New Roman"/>
          <w:lang w:val="en-US"/>
        </w:rPr>
      </w:pPr>
      <w:r w:rsidRPr="00F70EDA">
        <w:rPr>
          <w:rStyle w:val="FootnoteReference"/>
          <w:rFonts w:ascii="Times New Roman" w:hAnsi="Times New Roman"/>
          <w:lang w:val="en-US"/>
        </w:rPr>
        <w:footnoteRef/>
      </w:r>
      <w:r w:rsidRPr="00F70EDA">
        <w:rPr>
          <w:rFonts w:ascii="Times New Roman" w:hAnsi="Times New Roman"/>
          <w:lang w:val="en-US"/>
        </w:rPr>
        <w:t xml:space="preserve"> In accordance with Directive 2006/42/EC of the European Parliament and of the Council of 17 May 2006 on machinery, and amending Directive 95/16/EC (recast) (hereinafter - Directive 2006/42/EC)</w:t>
      </w:r>
    </w:p>
  </w:footnote>
  <w:footnote w:id="3">
    <w:p w:rsidR="00E12A29" w:rsidRPr="00F70EDA" w:rsidP="00E12A29" w14:paraId="50B76F91" w14:textId="77777777">
      <w:pPr>
        <w:pStyle w:val="FootnoteText"/>
        <w:rPr>
          <w:rFonts w:ascii="Times New Roman" w:hAnsi="Times New Roman"/>
          <w:lang w:val="en-US"/>
        </w:rPr>
      </w:pPr>
      <w:r w:rsidRPr="00F70EDA">
        <w:rPr>
          <w:rStyle w:val="FootnoteReference"/>
          <w:rFonts w:ascii="Times New Roman" w:hAnsi="Times New Roman"/>
          <w:lang w:val="en-US"/>
        </w:rPr>
        <w:footnoteRef/>
      </w:r>
      <w:r w:rsidRPr="00F70EDA">
        <w:rPr>
          <w:rFonts w:ascii="Times New Roman" w:hAnsi="Times New Roman"/>
          <w:lang w:val="en-US"/>
        </w:rPr>
        <w:t xml:space="preserve"> In accordance with Directive 2006/42/EC Article 5 (1)(e) and Annex II, part 1, Section A</w:t>
      </w:r>
    </w:p>
  </w:footnote>
  <w:footnote w:id="4">
    <w:p w:rsidR="00E12A29" w:rsidRPr="00F70EDA" w:rsidP="00E12A29" w14:paraId="283FEE2F" w14:textId="77777777">
      <w:pPr>
        <w:pStyle w:val="FootnoteText"/>
        <w:rPr>
          <w:rFonts w:ascii="Times New Roman" w:hAnsi="Times New Roman"/>
          <w:lang w:val="en-US"/>
        </w:rPr>
      </w:pPr>
      <w:r w:rsidRPr="00F70EDA">
        <w:rPr>
          <w:rStyle w:val="FootnoteReference"/>
          <w:rFonts w:ascii="Times New Roman" w:hAnsi="Times New Roman"/>
          <w:lang w:val="en-US"/>
        </w:rPr>
        <w:footnoteRef/>
      </w:r>
      <w:r w:rsidRPr="00F70EDA">
        <w:rPr>
          <w:rFonts w:ascii="Times New Roman" w:hAnsi="Times New Roman"/>
          <w:lang w:val="en-US"/>
        </w:rPr>
        <w:t xml:space="preserve"> In accordance with Directive 2006/42/EC Article 5 (1)(c)</w:t>
      </w:r>
    </w:p>
  </w:footnote>
  <w:footnote w:id="5">
    <w:p w:rsidR="00E12A29" w:rsidRPr="00F70EDA" w:rsidP="00E12A29" w14:paraId="37A1591E" w14:textId="77777777">
      <w:pPr>
        <w:pStyle w:val="FootnoteText"/>
        <w:jc w:val="both"/>
        <w:rPr>
          <w:rFonts w:ascii="Times New Roman" w:hAnsi="Times New Roman"/>
          <w:lang w:val="en-US"/>
        </w:rPr>
      </w:pPr>
      <w:r w:rsidRPr="00F70EDA">
        <w:rPr>
          <w:rStyle w:val="FootnoteReference"/>
          <w:rFonts w:ascii="Times New Roman" w:hAnsi="Times New Roman"/>
          <w:lang w:val="en-US"/>
        </w:rPr>
        <w:footnoteRef/>
      </w:r>
      <w:r w:rsidRPr="00F70EDA">
        <w:rPr>
          <w:rFonts w:ascii="Times New Roman" w:hAnsi="Times New Roman"/>
          <w:lang w:val="en-US"/>
        </w:rPr>
        <w:t xml:space="preserve"> In accordance with standard EN ISO 12100:2010 </w:t>
      </w:r>
      <w:r w:rsidRPr="00F70EDA">
        <w:rPr>
          <w:rFonts w:ascii="Times New Roman" w:hAnsi="Times New Roman"/>
          <w:i/>
          <w:iCs/>
          <w:lang w:val="en-US"/>
        </w:rPr>
        <w:t>Safety of machinery - General principles for design - Risk assessment and risk reduction (ISO 12100:2010)</w:t>
      </w:r>
      <w:r w:rsidRPr="00F70EDA">
        <w:rPr>
          <w:rFonts w:ascii="Times New Roman" w:hAnsi="Times New Roman"/>
          <w:lang w:val="en-US"/>
        </w:rPr>
        <w:t xml:space="preserve"> point 6.4.4. – [...] Information printed directly on the machine should be permanent and remain legible throughout the expected life of the machine. […]</w:t>
      </w:r>
    </w:p>
  </w:footnote>
  <w:footnote w:id="6">
    <w:p w:rsidR="00E12A29" w:rsidP="00E12A29" w14:paraId="43E497C9" w14:textId="77777777">
      <w:pPr>
        <w:pStyle w:val="FootnoteText"/>
      </w:pPr>
      <w:r>
        <w:rPr>
          <w:rStyle w:val="FootnoteReference"/>
        </w:rPr>
        <w:footnoteRef/>
      </w:r>
      <w:r>
        <w:t xml:space="preserve"> </w:t>
      </w:r>
      <w:r w:rsidRPr="00F70EDA">
        <w:rPr>
          <w:rFonts w:ascii="Times New Roman" w:hAnsi="Times New Roman"/>
          <w:lang w:val="en-US"/>
        </w:rPr>
        <w:t>Including in the manufacturers issued EC declaration of conformity.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243B6" w:rsidRPr="00D243B6" w14:paraId="336C9A31" w14:textId="77777777">
    <w:pPr>
      <w:pStyle w:val="Header"/>
      <w:jc w:val="center"/>
      <w:rPr>
        <w:rFonts w:ascii="Times New Roman" w:hAnsi="Times New Roman"/>
        <w:sz w:val="24"/>
        <w:szCs w:val="24"/>
      </w:rPr>
    </w:pPr>
    <w:r w:rsidRPr="00D243B6">
      <w:rPr>
        <w:rFonts w:ascii="Times New Roman" w:hAnsi="Times New Roman"/>
        <w:sz w:val="24"/>
        <w:szCs w:val="24"/>
      </w:rPr>
      <w:fldChar w:fldCharType="begin"/>
    </w:r>
    <w:r w:rsidRPr="00D243B6">
      <w:rPr>
        <w:rFonts w:ascii="Times New Roman" w:hAnsi="Times New Roman"/>
        <w:sz w:val="24"/>
        <w:szCs w:val="24"/>
      </w:rPr>
      <w:instrText xml:space="preserve"> PAGE   \* MERGEFORMAT </w:instrText>
    </w:r>
    <w:r w:rsidRPr="00D243B6">
      <w:rPr>
        <w:rFonts w:ascii="Times New Roman" w:hAnsi="Times New Roman"/>
        <w:sz w:val="24"/>
        <w:szCs w:val="24"/>
      </w:rPr>
      <w:fldChar w:fldCharType="separate"/>
    </w:r>
    <w:r w:rsidR="0079235A">
      <w:rPr>
        <w:rFonts w:ascii="Times New Roman" w:hAnsi="Times New Roman"/>
        <w:noProof/>
        <w:sz w:val="24"/>
        <w:szCs w:val="24"/>
      </w:rPr>
      <w:t>2</w:t>
    </w:r>
    <w:r w:rsidRPr="00D243B6">
      <w:rPr>
        <w:rFonts w:ascii="Times New Roman" w:hAnsi="Times New Roman"/>
        <w:noProof/>
        <w:sz w:val="24"/>
        <w:szCs w:val="24"/>
      </w:rPr>
      <w:fldChar w:fldCharType="end"/>
    </w:r>
  </w:p>
  <w:p w:rsidR="00D243B6" w14:paraId="6864268F"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D395E" w:rsidP="000D395E" w14:paraId="52DABE60" w14:textId="77777777">
    <w:pPr>
      <w:pStyle w:val="Header"/>
      <w:rPr>
        <w:rFonts w:ascii="Times New Roman" w:hAnsi="Times New Roman"/>
      </w:rPr>
    </w:pPr>
  </w:p>
  <w:p w:rsidR="000D395E" w:rsidP="000D395E" w14:paraId="2CC645B6" w14:textId="77777777">
    <w:pPr>
      <w:pStyle w:val="Header"/>
      <w:rPr>
        <w:rFonts w:ascii="Times New Roman" w:hAnsi="Times New Roman"/>
      </w:rPr>
    </w:pPr>
  </w:p>
  <w:p w:rsidR="000D395E" w:rsidP="000D395E" w14:paraId="4D6D32FB" w14:textId="77777777">
    <w:pPr>
      <w:pStyle w:val="Header"/>
      <w:rPr>
        <w:rFonts w:ascii="Times New Roman" w:hAnsi="Times New Roman"/>
      </w:rPr>
    </w:pPr>
  </w:p>
  <w:p w:rsidR="000D395E" w:rsidP="000D395E" w14:paraId="7149952E" w14:textId="77777777">
    <w:pPr>
      <w:pStyle w:val="Header"/>
      <w:rPr>
        <w:rFonts w:ascii="Times New Roman" w:hAnsi="Times New Roman"/>
      </w:rPr>
    </w:pPr>
  </w:p>
  <w:p w:rsidR="000D395E" w:rsidP="000D395E" w14:paraId="2EED0949" w14:textId="77777777">
    <w:pPr>
      <w:pStyle w:val="Header"/>
      <w:rPr>
        <w:rFonts w:ascii="Times New Roman" w:hAnsi="Times New Roman"/>
      </w:rPr>
    </w:pPr>
  </w:p>
  <w:p w:rsidR="000D395E" w:rsidP="000D395E" w14:paraId="568A0DDC" w14:textId="77777777">
    <w:pPr>
      <w:pStyle w:val="Header"/>
      <w:rPr>
        <w:rFonts w:ascii="Times New Roman" w:hAnsi="Times New Roman"/>
      </w:rPr>
    </w:pPr>
  </w:p>
  <w:p w:rsidR="000D395E" w:rsidP="000D395E" w14:paraId="094290AF" w14:textId="77777777">
    <w:pPr>
      <w:pStyle w:val="Header"/>
      <w:rPr>
        <w:rFonts w:ascii="Times New Roman" w:hAnsi="Times New Roman"/>
      </w:rPr>
    </w:pPr>
  </w:p>
  <w:p w:rsidR="000D395E" w:rsidP="000D395E" w14:paraId="59B5424B" w14:textId="77777777">
    <w:pPr>
      <w:pStyle w:val="Header"/>
      <w:rPr>
        <w:rFonts w:ascii="Times New Roman" w:hAnsi="Times New Roman"/>
      </w:rPr>
    </w:pPr>
  </w:p>
  <w:p w:rsidR="000D395E" w:rsidP="000D395E" w14:paraId="19BD2458" w14:textId="77777777">
    <w:pPr>
      <w:pStyle w:val="Header"/>
      <w:rPr>
        <w:rFonts w:ascii="Times New Roman" w:hAnsi="Times New Roman"/>
      </w:rPr>
    </w:pPr>
  </w:p>
  <w:p w:rsidR="000D395E" w:rsidP="000D395E" w14:paraId="0828096E" w14:textId="77777777">
    <w:pPr>
      <w:pStyle w:val="Header"/>
      <w:rPr>
        <w:rFonts w:ascii="Times New Roman" w:hAnsi="Times New Roman"/>
      </w:rPr>
    </w:pPr>
  </w:p>
  <w:p w:rsidR="000D395E" w:rsidRPr="00815277" w:rsidP="000D395E" w14:paraId="02FE830D" w14:textId="77777777">
    <w:pPr>
      <w:pStyle w:val="Header"/>
      <w:rPr>
        <w:rFonts w:ascii="Times New Roman" w:hAnsi="Times New Roman"/>
      </w:rPr>
    </w:pPr>
    <w:r>
      <w:rPr>
        <w:noProof/>
        <w:lang w:val="lv-LV" w:eastAsia="lv-LV"/>
      </w:rPr>
      <w:drawing>
        <wp:anchor distT="0" distB="0" distL="114300" distR="114300" simplePos="0" relativeHeight="251658240" behindDoc="1" locked="0" layoutInCell="1" allowOverlap="1">
          <wp:simplePos x="0" y="0"/>
          <wp:positionH relativeFrom="page">
            <wp:posOffset>1216025</wp:posOffset>
          </wp:positionH>
          <wp:positionV relativeFrom="page">
            <wp:posOffset>739140</wp:posOffset>
          </wp:positionV>
          <wp:extent cx="5671820" cy="1032510"/>
          <wp:effectExtent l="0" t="0" r="5080" b="0"/>
          <wp:wrapNone/>
          <wp:docPr id="6"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4"/>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5671820" cy="1032510"/>
                  </a:xfrm>
                  <a:prstGeom prst="rect">
                    <a:avLst/>
                  </a:prstGeom>
                  <a:noFill/>
                  <a:ln>
                    <a:noFill/>
                  </a:ln>
                </pic:spPr>
              </pic:pic>
            </a:graphicData>
          </a:graphic>
          <wp14:sizeRelH relativeFrom="page">
            <wp14:pctWidth>0</wp14:pctWidth>
          </wp14:sizeRelH>
          <wp14:sizeRelV relativeFrom="margin">
            <wp14:pctHeight>0</wp14:pctHeight>
          </wp14:sizeRelV>
        </wp:anchor>
      </w:drawing>
    </w:r>
    <w:r>
      <w:rPr>
        <w:noProof/>
        <w:lang w:val="lv-LV" w:eastAsia="lv-LV"/>
      </w:rPr>
      <mc:AlternateContent>
        <mc:Choice Requires="wps">
          <w:drawing>
            <wp:anchor distT="0" distB="0" distL="114300" distR="114300" simplePos="0" relativeHeight="251663360" behindDoc="1" locked="0" layoutInCell="1" allowOverlap="1">
              <wp:simplePos x="0" y="0"/>
              <wp:positionH relativeFrom="page">
                <wp:posOffset>1073150</wp:posOffset>
              </wp:positionH>
              <wp:positionV relativeFrom="page">
                <wp:posOffset>2138680</wp:posOffset>
              </wp:positionV>
              <wp:extent cx="5916295" cy="278130"/>
              <wp:effectExtent l="0" t="0" r="8255" b="7620"/>
              <wp:wrapNone/>
              <wp:docPr id="5" name="Text Box 1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16295" cy="27813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0D395E" w:rsidRPr="000D395E" w:rsidP="000D395E" w14:textId="77777777">
                          <w:pPr>
                            <w:spacing w:after="0" w:line="194" w:lineRule="exact"/>
                            <w:ind w:left="20" w:right="-45"/>
                            <w:jc w:val="center"/>
                            <w:rPr>
                              <w:rFonts w:ascii="Times New Roman" w:eastAsia="Times New Roman" w:hAnsi="Times New Roman"/>
                              <w:sz w:val="17"/>
                              <w:szCs w:val="17"/>
                              <w:lang w:val="pt-BR"/>
                            </w:rPr>
                          </w:pPr>
                          <w:r w:rsidRPr="000D395E">
                            <w:rPr>
                              <w:rFonts w:ascii="Times New Roman" w:eastAsia="Times New Roman" w:hAnsi="Times New Roman"/>
                              <w:color w:val="231F20"/>
                              <w:sz w:val="17"/>
                              <w:szCs w:val="17"/>
                              <w:lang w:val="pt-BR"/>
                            </w:rPr>
                            <w:t xml:space="preserve">Brīvības iela 55, Rīga, LV-1010, Latvia, phone +371 </w:t>
                          </w:r>
                          <w:r w:rsidR="00D243B6">
                            <w:rPr>
                              <w:rFonts w:ascii="Times New Roman" w:eastAsia="Times New Roman" w:hAnsi="Times New Roman"/>
                              <w:color w:val="231F20"/>
                              <w:sz w:val="17"/>
                              <w:szCs w:val="17"/>
                              <w:lang w:val="pt-BR"/>
                            </w:rPr>
                            <w:t>67388624</w:t>
                          </w:r>
                          <w:r w:rsidRPr="000D395E">
                            <w:rPr>
                              <w:rFonts w:ascii="Times New Roman" w:eastAsia="Times New Roman" w:hAnsi="Times New Roman"/>
                              <w:color w:val="231F20"/>
                              <w:sz w:val="17"/>
                              <w:szCs w:val="17"/>
                              <w:lang w:val="pt-BR"/>
                            </w:rPr>
                            <w:t xml:space="preserve">, fax +371 </w:t>
                          </w:r>
                          <w:r w:rsidR="00D243B6">
                            <w:rPr>
                              <w:rFonts w:ascii="Times New Roman" w:eastAsia="Times New Roman" w:hAnsi="Times New Roman"/>
                              <w:color w:val="231F20"/>
                              <w:sz w:val="17"/>
                              <w:szCs w:val="17"/>
                              <w:lang w:val="pt-BR"/>
                            </w:rPr>
                            <w:t>67388634</w:t>
                          </w:r>
                          <w:r w:rsidRPr="000D395E">
                            <w:rPr>
                              <w:rFonts w:ascii="Times New Roman" w:eastAsia="Times New Roman" w:hAnsi="Times New Roman"/>
                              <w:color w:val="231F20"/>
                              <w:sz w:val="17"/>
                              <w:szCs w:val="17"/>
                              <w:lang w:val="pt-BR"/>
                            </w:rPr>
                            <w:t>, e-mail p</w:t>
                          </w:r>
                          <w:r w:rsidR="00FA697B">
                            <w:rPr>
                              <w:rFonts w:ascii="Times New Roman" w:eastAsia="Times New Roman" w:hAnsi="Times New Roman"/>
                              <w:color w:val="231F20"/>
                              <w:sz w:val="17"/>
                              <w:szCs w:val="17"/>
                              <w:lang w:val="pt-BR"/>
                            </w:rPr>
                            <w:t>asts</w:t>
                          </w:r>
                          <w:r w:rsidRPr="000D395E">
                            <w:rPr>
                              <w:rFonts w:ascii="Times New Roman" w:eastAsia="Times New Roman" w:hAnsi="Times New Roman"/>
                              <w:color w:val="231F20"/>
                              <w:sz w:val="17"/>
                              <w:szCs w:val="17"/>
                              <w:lang w:val="pt-BR"/>
                            </w:rPr>
                            <w:t>@ptac.gov.lv, www.ptac.gov.lv</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2049" type="#_x0000_t202" style="width:465.85pt;height:21.9pt;margin-top:168.4pt;margin-left:84.5pt;mso-height-percent:0;mso-height-relative:page;mso-position-horizontal-relative:page;mso-position-vertical-relative:page;mso-width-percent:0;mso-width-relative:page;mso-wrap-distance-bottom:0;mso-wrap-distance-left:9pt;mso-wrap-distance-right:9pt;mso-wrap-distance-top:0;mso-wrap-style:square;position:absolute;v-text-anchor:top;visibility:visible;z-index:-251652096" filled="f" stroked="f">
              <v:textbox inset="0,0,0,0">
                <w:txbxContent>
                  <w:p w:rsidR="000D395E" w:rsidRPr="000D395E" w:rsidP="000D395E" w14:paraId="3714E73B" w14:textId="77777777">
                    <w:pPr>
                      <w:spacing w:after="0" w:line="194" w:lineRule="exact"/>
                      <w:ind w:left="20" w:right="-45"/>
                      <w:jc w:val="center"/>
                      <w:rPr>
                        <w:rFonts w:ascii="Times New Roman" w:eastAsia="Times New Roman" w:hAnsi="Times New Roman"/>
                        <w:sz w:val="17"/>
                        <w:szCs w:val="17"/>
                        <w:lang w:val="pt-BR"/>
                      </w:rPr>
                    </w:pPr>
                    <w:r w:rsidRPr="000D395E">
                      <w:rPr>
                        <w:rFonts w:ascii="Times New Roman" w:eastAsia="Times New Roman" w:hAnsi="Times New Roman"/>
                        <w:color w:val="231F20"/>
                        <w:sz w:val="17"/>
                        <w:szCs w:val="17"/>
                        <w:lang w:val="pt-BR"/>
                      </w:rPr>
                      <w:t xml:space="preserve">Brīvības iela 55, Rīga, LV-1010, Latvia, phone +371 </w:t>
                    </w:r>
                    <w:r w:rsidR="00D243B6">
                      <w:rPr>
                        <w:rFonts w:ascii="Times New Roman" w:eastAsia="Times New Roman" w:hAnsi="Times New Roman"/>
                        <w:color w:val="231F20"/>
                        <w:sz w:val="17"/>
                        <w:szCs w:val="17"/>
                        <w:lang w:val="pt-BR"/>
                      </w:rPr>
                      <w:t>67388624</w:t>
                    </w:r>
                    <w:r w:rsidRPr="000D395E">
                      <w:rPr>
                        <w:rFonts w:ascii="Times New Roman" w:eastAsia="Times New Roman" w:hAnsi="Times New Roman"/>
                        <w:color w:val="231F20"/>
                        <w:sz w:val="17"/>
                        <w:szCs w:val="17"/>
                        <w:lang w:val="pt-BR"/>
                      </w:rPr>
                      <w:t xml:space="preserve">, fax +371 </w:t>
                    </w:r>
                    <w:r w:rsidR="00D243B6">
                      <w:rPr>
                        <w:rFonts w:ascii="Times New Roman" w:eastAsia="Times New Roman" w:hAnsi="Times New Roman"/>
                        <w:color w:val="231F20"/>
                        <w:sz w:val="17"/>
                        <w:szCs w:val="17"/>
                        <w:lang w:val="pt-BR"/>
                      </w:rPr>
                      <w:t>67388634</w:t>
                    </w:r>
                    <w:r w:rsidRPr="000D395E">
                      <w:rPr>
                        <w:rFonts w:ascii="Times New Roman" w:eastAsia="Times New Roman" w:hAnsi="Times New Roman"/>
                        <w:color w:val="231F20"/>
                        <w:sz w:val="17"/>
                        <w:szCs w:val="17"/>
                        <w:lang w:val="pt-BR"/>
                      </w:rPr>
                      <w:t>, e-mail p</w:t>
                    </w:r>
                    <w:r w:rsidR="00FA697B">
                      <w:rPr>
                        <w:rFonts w:ascii="Times New Roman" w:eastAsia="Times New Roman" w:hAnsi="Times New Roman"/>
                        <w:color w:val="231F20"/>
                        <w:sz w:val="17"/>
                        <w:szCs w:val="17"/>
                        <w:lang w:val="pt-BR"/>
                      </w:rPr>
                      <w:t>asts</w:t>
                    </w:r>
                    <w:r w:rsidRPr="000D395E">
                      <w:rPr>
                        <w:rFonts w:ascii="Times New Roman" w:eastAsia="Times New Roman" w:hAnsi="Times New Roman"/>
                        <w:color w:val="231F20"/>
                        <w:sz w:val="17"/>
                        <w:szCs w:val="17"/>
                        <w:lang w:val="pt-BR"/>
                      </w:rPr>
                      <w:t>@ptac.gov.lv, www.ptac.gov.lv</w:t>
                    </w:r>
                  </w:p>
                </w:txbxContent>
              </v:textbox>
            </v:shape>
          </w:pict>
        </mc:Fallback>
      </mc:AlternateContent>
    </w:r>
    <w:r>
      <w:rPr>
        <w:noProof/>
        <w:lang w:val="lv-LV" w:eastAsia="lv-LV"/>
      </w:rPr>
      <mc:AlternateContent>
        <mc:Choice Requires="wps">
          <w:drawing>
            <wp:anchor distT="0" distB="0" distL="114300" distR="114300" simplePos="0" relativeHeight="251661312" behindDoc="1" locked="0" layoutInCell="1" allowOverlap="1">
              <wp:simplePos x="0" y="0"/>
              <wp:positionH relativeFrom="page">
                <wp:posOffset>1073150</wp:posOffset>
              </wp:positionH>
              <wp:positionV relativeFrom="page">
                <wp:posOffset>1774190</wp:posOffset>
              </wp:positionV>
              <wp:extent cx="5916295" cy="139700"/>
              <wp:effectExtent l="0" t="0" r="8255" b="12700"/>
              <wp:wrapNone/>
              <wp:docPr id="3" name="Text Box 1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16295" cy="1397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0D395E" w:rsidP="000D395E" w14:textId="77777777">
                          <w:pPr>
                            <w:spacing w:after="0" w:line="204" w:lineRule="exact"/>
                            <w:ind w:left="20" w:right="-47"/>
                            <w:jc w:val="center"/>
                            <w:rPr>
                              <w:rFonts w:ascii="Times New Roman" w:eastAsia="Times New Roman" w:hAnsi="Times New Roman"/>
                              <w:sz w:val="18"/>
                              <w:szCs w:val="18"/>
                            </w:rPr>
                          </w:pPr>
                          <w:r w:rsidRPr="00E70B3E">
                            <w:rPr>
                              <w:rFonts w:ascii="Times New Roman" w:eastAsia="Times New Roman" w:hAnsi="Times New Roman"/>
                              <w:i/>
                              <w:color w:val="231F20"/>
                              <w:spacing w:val="-11"/>
                              <w:sz w:val="18"/>
                              <w:szCs w:val="18"/>
                            </w:rPr>
                            <w:t xml:space="preserve">Consumer Rights Protection Centre of the </w:t>
                          </w:r>
                          <w:smartTag w:uri="urn:schemas-microsoft-com:office:smarttags" w:element="place">
                            <w:smartTag w:uri="urn:schemas-microsoft-com:office:smarttags" w:element="PlaceType">
                              <w:r w:rsidRPr="00E70B3E">
                                <w:rPr>
                                  <w:rFonts w:ascii="Times New Roman" w:eastAsia="Times New Roman" w:hAnsi="Times New Roman"/>
                                  <w:i/>
                                  <w:color w:val="231F20"/>
                                  <w:spacing w:val="-11"/>
                                  <w:sz w:val="18"/>
                                  <w:szCs w:val="18"/>
                                </w:rPr>
                                <w:t>Republic</w:t>
                              </w:r>
                            </w:smartTag>
                            <w:r w:rsidRPr="00E70B3E">
                              <w:rPr>
                                <w:rFonts w:ascii="Times New Roman" w:eastAsia="Times New Roman" w:hAnsi="Times New Roman"/>
                                <w:i/>
                                <w:color w:val="231F20"/>
                                <w:spacing w:val="-11"/>
                                <w:sz w:val="18"/>
                                <w:szCs w:val="18"/>
                              </w:rPr>
                              <w:t xml:space="preserve"> of </w:t>
                            </w:r>
                            <w:smartTag w:uri="urn:schemas-microsoft-com:office:smarttags" w:element="PlaceName">
                              <w:r w:rsidRPr="00E70B3E">
                                <w:rPr>
                                  <w:rFonts w:ascii="Times New Roman" w:eastAsia="Times New Roman" w:hAnsi="Times New Roman"/>
                                  <w:i/>
                                  <w:color w:val="231F20"/>
                                  <w:spacing w:val="-11"/>
                                  <w:sz w:val="18"/>
                                  <w:szCs w:val="18"/>
                                </w:rPr>
                                <w:t>Latvia</w:t>
                              </w:r>
                            </w:smartTag>
                          </w:smartTag>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17" o:spid="_x0000_s2050" type="#_x0000_t202" style="width:465.85pt;height:11pt;margin-top:139.7pt;margin-left:84.5pt;mso-height-percent:0;mso-height-relative:page;mso-position-horizontal-relative:page;mso-position-vertical-relative:page;mso-width-percent:0;mso-width-relative:page;mso-wrap-distance-bottom:0;mso-wrap-distance-left:9pt;mso-wrap-distance-right:9pt;mso-wrap-distance-top:0;mso-wrap-style:square;position:absolute;v-text-anchor:top;visibility:visible;z-index:-251654144" filled="f" stroked="f">
              <v:textbox inset="0,0,0,0">
                <w:txbxContent>
                  <w:p w:rsidR="000D395E" w:rsidP="000D395E" w14:paraId="4329CE71" w14:textId="77777777">
                    <w:pPr>
                      <w:spacing w:after="0" w:line="204" w:lineRule="exact"/>
                      <w:ind w:left="20" w:right="-47"/>
                      <w:jc w:val="center"/>
                      <w:rPr>
                        <w:rFonts w:ascii="Times New Roman" w:eastAsia="Times New Roman" w:hAnsi="Times New Roman"/>
                        <w:sz w:val="18"/>
                        <w:szCs w:val="18"/>
                      </w:rPr>
                    </w:pPr>
                    <w:r w:rsidRPr="00E70B3E">
                      <w:rPr>
                        <w:rFonts w:ascii="Times New Roman" w:eastAsia="Times New Roman" w:hAnsi="Times New Roman"/>
                        <w:i/>
                        <w:color w:val="231F20"/>
                        <w:spacing w:val="-11"/>
                        <w:sz w:val="18"/>
                        <w:szCs w:val="18"/>
                      </w:rPr>
                      <w:t xml:space="preserve">Consumer Rights Protection Centre of the </w:t>
                    </w:r>
                    <w:smartTag w:uri="urn:schemas-microsoft-com:office:smarttags" w:element="place">
                      <w:smartTag w:uri="urn:schemas-microsoft-com:office:smarttags" w:element="PlaceType">
                        <w:r w:rsidRPr="00E70B3E">
                          <w:rPr>
                            <w:rFonts w:ascii="Times New Roman" w:eastAsia="Times New Roman" w:hAnsi="Times New Roman"/>
                            <w:i/>
                            <w:color w:val="231F20"/>
                            <w:spacing w:val="-11"/>
                            <w:sz w:val="18"/>
                            <w:szCs w:val="18"/>
                          </w:rPr>
                          <w:t>Republic</w:t>
                        </w:r>
                      </w:smartTag>
                      <w:r w:rsidRPr="00E70B3E">
                        <w:rPr>
                          <w:rFonts w:ascii="Times New Roman" w:eastAsia="Times New Roman" w:hAnsi="Times New Roman"/>
                          <w:i/>
                          <w:color w:val="231F20"/>
                          <w:spacing w:val="-11"/>
                          <w:sz w:val="18"/>
                          <w:szCs w:val="18"/>
                        </w:rPr>
                        <w:t xml:space="preserve"> of </w:t>
                      </w:r>
                      <w:smartTag w:uri="urn:schemas-microsoft-com:office:smarttags" w:element="PlaceName">
                        <w:r w:rsidRPr="00E70B3E">
                          <w:rPr>
                            <w:rFonts w:ascii="Times New Roman" w:eastAsia="Times New Roman" w:hAnsi="Times New Roman"/>
                            <w:i/>
                            <w:color w:val="231F20"/>
                            <w:spacing w:val="-11"/>
                            <w:sz w:val="18"/>
                            <w:szCs w:val="18"/>
                          </w:rPr>
                          <w:t>Latvia</w:t>
                        </w:r>
                      </w:smartTag>
                    </w:smartTag>
                  </w:p>
                </w:txbxContent>
              </v:textbox>
            </v:shape>
          </w:pict>
        </mc:Fallback>
      </mc:AlternateContent>
    </w:r>
    <w:r>
      <w:rPr>
        <w:noProof/>
        <w:lang w:val="lv-LV" w:eastAsia="lv-LV"/>
      </w:rPr>
      <mc:AlternateContent>
        <mc:Choice Requires="wpg">
          <w:drawing>
            <wp:anchor distT="0" distB="0" distL="114300" distR="114300" simplePos="0" relativeHeight="251659264" behindDoc="1" locked="0" layoutInCell="1" allowOverlap="1">
              <wp:simplePos x="0" y="0"/>
              <wp:positionH relativeFrom="page">
                <wp:posOffset>1850390</wp:posOffset>
              </wp:positionH>
              <wp:positionV relativeFrom="page">
                <wp:posOffset>2014220</wp:posOffset>
              </wp:positionV>
              <wp:extent cx="4397375" cy="1270"/>
              <wp:effectExtent l="0" t="0" r="22225" b="17780"/>
              <wp:wrapNone/>
              <wp:docPr id="1" name="Group 15"/>
              <wp:cNvGraphicFramePr/>
              <a:graphic xmlns:a="http://schemas.openxmlformats.org/drawingml/2006/main">
                <a:graphicData uri="http://schemas.microsoft.com/office/word/2010/wordprocessingGroup">
                  <wpg:wgp xmlns:wpg="http://schemas.microsoft.com/office/word/2010/wordprocessingGroup">
                    <wpg:cNvGrpSpPr/>
                    <wpg:grpSpPr>
                      <a:xfrm>
                        <a:off x="0" y="0"/>
                        <a:ext cx="4397375" cy="1270"/>
                        <a:chOff x="2915" y="3172"/>
                        <a:chExt cx="6926" cy="2"/>
                      </a:xfrm>
                    </wpg:grpSpPr>
                    <wps:wsp xmlns:wps="http://schemas.microsoft.com/office/word/2010/wordprocessingShape">
                      <wps:cNvPr id="2" name="Freeform 16"/>
                      <wps:cNvSpPr/>
                      <wps:spPr bwMode="auto">
                        <a:xfrm>
                          <a:off x="2915" y="3172"/>
                          <a:ext cx="6926" cy="2"/>
                        </a:xfrm>
                        <a:custGeom>
                          <a:avLst/>
                          <a:gdLst>
                            <a:gd name="T0" fmla="+- 0 2915 2915"/>
                            <a:gd name="T1" fmla="*/ T0 w 6926"/>
                            <a:gd name="T2" fmla="+- 0 9841 2915"/>
                            <a:gd name="T3" fmla="*/ T2 w 6926"/>
                          </a:gdLst>
                          <a:cxnLst>
                            <a:cxn ang="0">
                              <a:pos x="T1" y="0"/>
                            </a:cxn>
                            <a:cxn ang="0">
                              <a:pos x="T3" y="0"/>
                            </a:cxn>
                          </a:cxnLst>
                          <a:rect l="0" t="0" r="r" b="b"/>
                          <a:pathLst>
                            <a:path fill="norm" w="6926" stroke="1">
                              <a:moveTo>
                                <a:pt x="0" y="0"/>
                              </a:moveTo>
                              <a:lnTo>
                                <a:pt x="6926" y="0"/>
                              </a:lnTo>
                            </a:path>
                          </a:pathLst>
                        </a:custGeom>
                        <a:noFill/>
                        <a:ln w="3175">
                          <a:solidFill>
                            <a:srgbClr val="231F2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15" o:spid="_x0000_s2051" style="width:346.25pt;height:0.1pt;margin-top:158.6pt;margin-left:145.7pt;mso-position-horizontal-relative:page;mso-position-vertical-relative:page;position:absolute;z-index:-251656192" coordorigin="2915,3172" coordsize="6926,2">
              <v:shape id="Freeform 16" o:spid="_x0000_s2052" style="width:6926;height:2;left:2915;mso-wrap-style:square;position:absolute;top:3172;v-text-anchor:top;visibility:visible" coordsize="6926,2" path="m,l6926,e" filled="f" strokecolor="#231f20" strokeweight="0.25pt">
                <v:path arrowok="t" o:connecttype="custom" o:connectlocs="0,0;6926,0" o:connectangles="0,0"/>
              </v:shape>
            </v:group>
          </w:pict>
        </mc:Fallback>
      </mc:AlternateContent>
    </w:r>
  </w:p>
  <w:p w:rsidR="000D395E" w14:paraId="78F64523"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1D"/>
    <w:multiLevelType w:val="multilevel"/>
    <w:tmpl w:val="BD141F24"/>
    <w:lvl w:ilvl="0">
      <w:start w:val="1"/>
      <w:numFmt w:val="bullet"/>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54906AE0"/>
    <w:lvl w:ilvl="0">
      <w:start w:val="1"/>
      <w:numFmt w:val="decimal"/>
      <w:lvlText w:val="%1."/>
      <w:lvlJc w:val="left"/>
      <w:pPr>
        <w:tabs>
          <w:tab w:val="num" w:pos="1492"/>
        </w:tabs>
        <w:ind w:left="1492" w:hanging="360"/>
      </w:pPr>
    </w:lvl>
  </w:abstractNum>
  <w:abstractNum w:abstractNumId="2">
    <w:nsid w:val="FFFFFF7D"/>
    <w:multiLevelType w:val="singleLevel"/>
    <w:tmpl w:val="4030FA6A"/>
    <w:lvl w:ilvl="0">
      <w:start w:val="1"/>
      <w:numFmt w:val="decimal"/>
      <w:lvlText w:val="%1."/>
      <w:lvlJc w:val="left"/>
      <w:pPr>
        <w:tabs>
          <w:tab w:val="num" w:pos="1209"/>
        </w:tabs>
        <w:ind w:left="1209" w:hanging="360"/>
      </w:pPr>
    </w:lvl>
  </w:abstractNum>
  <w:abstractNum w:abstractNumId="3">
    <w:nsid w:val="FFFFFF7E"/>
    <w:multiLevelType w:val="singleLevel"/>
    <w:tmpl w:val="42644F22"/>
    <w:lvl w:ilvl="0">
      <w:start w:val="1"/>
      <w:numFmt w:val="decimal"/>
      <w:lvlText w:val="%1."/>
      <w:lvlJc w:val="left"/>
      <w:pPr>
        <w:tabs>
          <w:tab w:val="num" w:pos="926"/>
        </w:tabs>
        <w:ind w:left="926" w:hanging="360"/>
      </w:pPr>
    </w:lvl>
  </w:abstractNum>
  <w:abstractNum w:abstractNumId="4">
    <w:nsid w:val="FFFFFF7F"/>
    <w:multiLevelType w:val="singleLevel"/>
    <w:tmpl w:val="066A8A40"/>
    <w:lvl w:ilvl="0">
      <w:start w:val="1"/>
      <w:numFmt w:val="decimal"/>
      <w:lvlText w:val="%1."/>
      <w:lvlJc w:val="left"/>
      <w:pPr>
        <w:tabs>
          <w:tab w:val="num" w:pos="643"/>
        </w:tabs>
        <w:ind w:left="643" w:hanging="360"/>
      </w:pPr>
    </w:lvl>
  </w:abstractNum>
  <w:abstractNum w:abstractNumId="5">
    <w:nsid w:val="FFFFFF80"/>
    <w:multiLevelType w:val="singleLevel"/>
    <w:tmpl w:val="CB24B198"/>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3A08C316"/>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F1282C92"/>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A0F08B50"/>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88FA5B40"/>
    <w:lvl w:ilvl="0">
      <w:start w:val="1"/>
      <w:numFmt w:val="decimal"/>
      <w:lvlText w:val="%1."/>
      <w:lvlJc w:val="left"/>
      <w:pPr>
        <w:tabs>
          <w:tab w:val="num" w:pos="360"/>
        </w:tabs>
        <w:ind w:left="360" w:hanging="360"/>
      </w:pPr>
    </w:lvl>
  </w:abstractNum>
  <w:abstractNum w:abstractNumId="10">
    <w:nsid w:val="FFFFFF89"/>
    <w:multiLevelType w:val="singleLevel"/>
    <w:tmpl w:val="6E7295D6"/>
    <w:lvl w:ilvl="0">
      <w:start w:val="1"/>
      <w:numFmt w:val="bullet"/>
      <w:lvlText w:val=""/>
      <w:lvlJc w:val="left"/>
      <w:pPr>
        <w:tabs>
          <w:tab w:val="num" w:pos="360"/>
        </w:tabs>
        <w:ind w:left="360" w:hanging="360"/>
      </w:pPr>
      <w:rPr>
        <w:rFonts w:ascii="Symbol" w:hAnsi="Symbol" w:hint="default"/>
      </w:rPr>
    </w:lvl>
  </w:abstractNum>
  <w:abstractNum w:abstractNumId="11">
    <w:nsid w:val="371C66BB"/>
    <w:multiLevelType w:val="hybridMultilevel"/>
    <w:tmpl w:val="C3C8430E"/>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num w:numId="1" w16cid:durableId="1862890821">
    <w:abstractNumId w:val="10"/>
  </w:num>
  <w:num w:numId="2" w16cid:durableId="1266186073">
    <w:abstractNumId w:val="8"/>
  </w:num>
  <w:num w:numId="3" w16cid:durableId="878398592">
    <w:abstractNumId w:val="7"/>
  </w:num>
  <w:num w:numId="4" w16cid:durableId="960380497">
    <w:abstractNumId w:val="6"/>
  </w:num>
  <w:num w:numId="5" w16cid:durableId="1181629800">
    <w:abstractNumId w:val="5"/>
  </w:num>
  <w:num w:numId="6" w16cid:durableId="1474565204">
    <w:abstractNumId w:val="9"/>
  </w:num>
  <w:num w:numId="7" w16cid:durableId="1258052230">
    <w:abstractNumId w:val="4"/>
  </w:num>
  <w:num w:numId="8" w16cid:durableId="346950192">
    <w:abstractNumId w:val="3"/>
  </w:num>
  <w:num w:numId="9" w16cid:durableId="33623555">
    <w:abstractNumId w:val="2"/>
  </w:num>
  <w:num w:numId="10" w16cid:durableId="1050766185">
    <w:abstractNumId w:val="1"/>
  </w:num>
  <w:num w:numId="11" w16cid:durableId="2076125036">
    <w:abstractNumId w:val="0"/>
  </w:num>
  <w:num w:numId="12" w16cid:durableId="3632102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grammar="clean"/>
  <w:defaultTabStop w:val="720"/>
  <w:drawingGridHorizontalSpacing w:val="110"/>
  <w:displayHorizontalDrawingGridEvery w:val="2"/>
  <w:characterSpacingControl w:val="doNotCompress"/>
  <w:footnotePr>
    <w:footnote w:id="0"/>
    <w:footnote w:id="1"/>
  </w:foot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EC1"/>
    <w:rsid w:val="00025434"/>
    <w:rsid w:val="000260E2"/>
    <w:rsid w:val="000A3A07"/>
    <w:rsid w:val="000C1EE9"/>
    <w:rsid w:val="000D395E"/>
    <w:rsid w:val="000F581C"/>
    <w:rsid w:val="00101578"/>
    <w:rsid w:val="001560C0"/>
    <w:rsid w:val="002E1474"/>
    <w:rsid w:val="002E74B6"/>
    <w:rsid w:val="003142AE"/>
    <w:rsid w:val="003213DA"/>
    <w:rsid w:val="00336E64"/>
    <w:rsid w:val="003841A7"/>
    <w:rsid w:val="003B6C75"/>
    <w:rsid w:val="003E6C15"/>
    <w:rsid w:val="004133DA"/>
    <w:rsid w:val="00415F2B"/>
    <w:rsid w:val="004E0162"/>
    <w:rsid w:val="004F7F23"/>
    <w:rsid w:val="00512290"/>
    <w:rsid w:val="005549C9"/>
    <w:rsid w:val="005C417E"/>
    <w:rsid w:val="005E6A01"/>
    <w:rsid w:val="005F7F61"/>
    <w:rsid w:val="006A4322"/>
    <w:rsid w:val="00791F71"/>
    <w:rsid w:val="0079235A"/>
    <w:rsid w:val="007977FF"/>
    <w:rsid w:val="00815277"/>
    <w:rsid w:val="00861617"/>
    <w:rsid w:val="008704F3"/>
    <w:rsid w:val="008F613D"/>
    <w:rsid w:val="00901DA9"/>
    <w:rsid w:val="009439B3"/>
    <w:rsid w:val="00961AD9"/>
    <w:rsid w:val="00AD03F2"/>
    <w:rsid w:val="00AE7AE2"/>
    <w:rsid w:val="00B204B7"/>
    <w:rsid w:val="00B468A9"/>
    <w:rsid w:val="00B82FC7"/>
    <w:rsid w:val="00BC4860"/>
    <w:rsid w:val="00BE6EC1"/>
    <w:rsid w:val="00C127B8"/>
    <w:rsid w:val="00C5555B"/>
    <w:rsid w:val="00CB3775"/>
    <w:rsid w:val="00D243B6"/>
    <w:rsid w:val="00D73EFA"/>
    <w:rsid w:val="00D85438"/>
    <w:rsid w:val="00DB0DAF"/>
    <w:rsid w:val="00DD43B5"/>
    <w:rsid w:val="00E12A29"/>
    <w:rsid w:val="00E45862"/>
    <w:rsid w:val="00E70B3E"/>
    <w:rsid w:val="00EB1608"/>
    <w:rsid w:val="00ED4F52"/>
    <w:rsid w:val="00F01731"/>
    <w:rsid w:val="00F60281"/>
    <w:rsid w:val="00F70EDA"/>
    <w:rsid w:val="00FA697B"/>
    <w:rsid w:val="00FE2265"/>
    <w:rsid w:val="00FE4ADE"/>
  </w:rsids>
  <m:mathPr>
    <m:mathFont m:val="Cambria Math"/>
  </m:mathPr>
  <w:themeFontLang w:val="lv-LV"/>
  <w:clrSchemeMapping w:bg1="light1" w:t1="dark1" w:bg2="light2" w:t2="dark2" w:accent1="accent1" w:accent2="accent2" w:accent3="accent3" w:accent4="accent4" w:accent5="accent5" w:accent6="accent6" w:hyperlink="hyperlink" w:followedHyperlink="followedHyperlink"/>
  <w14:docId w14:val="36B5E6AC"/>
  <w15:chartTrackingRefBased/>
  <w15:docId w15:val="{326CE05B-E48E-4A46-8255-2C7CBD6AA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102B"/>
    <w:pPr>
      <w:widowControl w:val="0"/>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5277"/>
    <w:pPr>
      <w:tabs>
        <w:tab w:val="center" w:pos="4320"/>
        <w:tab w:val="right" w:pos="8640"/>
      </w:tabs>
      <w:spacing w:after="0" w:line="240" w:lineRule="auto"/>
    </w:pPr>
  </w:style>
  <w:style w:type="character" w:customStyle="1" w:styleId="HeaderChar">
    <w:name w:val="Header Char"/>
    <w:basedOn w:val="DefaultParagraphFont"/>
    <w:link w:val="Header"/>
    <w:uiPriority w:val="99"/>
    <w:rsid w:val="00815277"/>
  </w:style>
  <w:style w:type="paragraph" w:styleId="Footer">
    <w:name w:val="footer"/>
    <w:basedOn w:val="Normal"/>
    <w:link w:val="FooterChar"/>
    <w:uiPriority w:val="99"/>
    <w:unhideWhenUsed/>
    <w:rsid w:val="00815277"/>
    <w:pPr>
      <w:tabs>
        <w:tab w:val="center" w:pos="4320"/>
        <w:tab w:val="right" w:pos="8640"/>
      </w:tabs>
      <w:spacing w:after="0" w:line="240" w:lineRule="auto"/>
    </w:pPr>
  </w:style>
  <w:style w:type="character" w:customStyle="1" w:styleId="FooterChar">
    <w:name w:val="Footer Char"/>
    <w:basedOn w:val="DefaultParagraphFont"/>
    <w:link w:val="Footer"/>
    <w:uiPriority w:val="99"/>
    <w:rsid w:val="00815277"/>
  </w:style>
  <w:style w:type="paragraph" w:styleId="FootnoteText">
    <w:name w:val="footnote text"/>
    <w:basedOn w:val="Normal"/>
    <w:link w:val="FootnoteTextChar"/>
    <w:uiPriority w:val="99"/>
    <w:unhideWhenUsed/>
    <w:rsid w:val="00E12A29"/>
    <w:pPr>
      <w:spacing w:after="0" w:line="240" w:lineRule="auto"/>
    </w:pPr>
    <w:rPr>
      <w:sz w:val="20"/>
      <w:szCs w:val="20"/>
      <w:lang w:val="lv-LV"/>
    </w:rPr>
  </w:style>
  <w:style w:type="character" w:customStyle="1" w:styleId="FootnoteTextChar">
    <w:name w:val="Footnote Text Char"/>
    <w:basedOn w:val="DefaultParagraphFont"/>
    <w:link w:val="FootnoteText"/>
    <w:uiPriority w:val="99"/>
    <w:rsid w:val="00E12A29"/>
    <w:rPr>
      <w:lang w:eastAsia="en-US"/>
    </w:rPr>
  </w:style>
  <w:style w:type="character" w:styleId="FootnoteReference">
    <w:name w:val="footnote reference"/>
    <w:basedOn w:val="DefaultParagraphFont"/>
    <w:uiPriority w:val="99"/>
    <w:unhideWhenUsed/>
    <w:qFormat/>
    <w:rsid w:val="00E12A29"/>
    <w:rPr>
      <w:vertAlign w:val="superscript"/>
    </w:rPr>
  </w:style>
  <w:style w:type="paragraph" w:styleId="ListParagraph">
    <w:name w:val="List Paragraph"/>
    <w:basedOn w:val="Normal"/>
    <w:uiPriority w:val="34"/>
    <w:qFormat/>
    <w:rsid w:val="00E12A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hyperlink" Target="mailto:Vards.Uzvards@ptac.gov.lv" TargetMode="Externa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theme" Target="theme/theme1.xml" /><Relationship Id="rId9" Type="http://schemas.openxmlformats.org/officeDocument/2006/relationships/numbering" Target="numbering.xml" /></Relationships>
</file>

<file path=word/_rels/header2.xml.rels><?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2</Pages>
  <Words>2273</Words>
  <Characters>1296</Characters>
  <Application>Microsoft Office Word</Application>
  <DocSecurity>0</DocSecurity>
  <Lines>10</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Madara Vilkriste</dc:creator>
  <cp:lastModifiedBy>Astrīda Mosa</cp:lastModifiedBy>
  <cp:revision>23</cp:revision>
  <dcterms:created xsi:type="dcterms:W3CDTF">2016-06-07T11:02:00Z</dcterms:created>
  <dcterms:modified xsi:type="dcterms:W3CDTF">2024-03-06T14:35:00Z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2014-11-05T00:00:00Z</vt:filetime>
  </property>
  <property fmtid="{D5CDD505-2E9C-101B-9397-08002B2CF9AE}" pid="3" name="LastSaved">
    <vt:filetime>2014-11-05T00:00:00Z</vt:filetime>
  </property>
</Properties>
</file>